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994. “汽车改灯、贴膜，合规改装”——汽车个性化改装（贴膜、改灯、音响）需求与合规顾虑调查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研究对象：做过汽车改装（贴膜/改灯/轮毂）的车主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核心问题/变量：改装项目（外观/性能）、备案与年检合规、改装成本、被查/处罚经历、改装店选择、与保险关系（改件理赔）、驾驶乐趣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H1：改装项目（外观/性能）、备案与年检合规显著影响驾驶乐趣（待验证）；H2：不同人群（年龄/收入/城市等级）在上述关系中存在调节作用（待验证）。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🔶机动车登记与改装管理规定（公安部）；🔶改装市场数据（行业报告须下载核验）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改装店渠道+车主问卷；获奖黑名单核对：近三年无汽车改装获奖题（区别于578改色膜泛题）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🔶机动车登记与改装管理规定（公安部）；🔶改装市场数据（行业报告须下载核验）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