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1040. “跨境理财通，湾区财富”——大湾区投资者跨境理财通投资动机与使用意愿调查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研究对象：参与跨境理财通的大湾区投资者（北向/南向）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核心问题/变量：跨境投资动机（分散/利率差）、额度使用（150万南向）、产品选择（存款/基金）、两地规则认知、推广渠道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境投资动机（分散/利率差）、额度使用（150万南向）（推广渠道）之间存在可检验的关系，且受群体差异（年龄/收入/地区/身份）调节（待验证）；H2：跨境投资动机（分散/利率差）、额度使用（150万南向）是影响推广渠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🔶跨境理财通业务试点政策（央行、金融监管总局）；🔶跨境理财通数据（须下载核验）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银行渠道问卷+大湾区机构访谈；获奖黑名单核对：近三年无跨境理财通获奖题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🔶跨境理财通业务试点政策（央行、金融监管总局）；🔶跨境理财通数据（须下载核验）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