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1152. “分红险回归，稳字当头”——分红险购买意愿及分红实现率认知调查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研究对象：购买分红险/储蓄型保险（增额寿/年金）的消费者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核心问题/变量：分红险选择动机（锁定利率/稳健）、预定利率下调（2.0%）影响、分红实现率（演示vs实际）、银保渠道、退保率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H1：分红险选择动机（锁定利率/稳健）、预定利率下调（2.0%）影响显著影响退保率（待验证）；H2：不同人群（年龄/收入/城市等级）在上述关系中存在调节作用（待验证）。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🔶人身险预定利率调整与分红险规范（金融监管总局）；🔶保险市场数据（行业报告须下载核验）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保险渠道问卷+代理人访谈；获奖黑名单核对：近三年无分红险获奖题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🔶人身险预定利率调整与分红险规范（金融监管总局）；🔶保险市场数据（行业报告须下载核验）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