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1156. “ETF投资者，指数也疯狂”——个人投资者ETF配置行为及投资体验调查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研究对象：投资指数基金/ETF（含跨境ETF）的个人投资者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核心问题/变量：ETF选择（宽基/行业/跨境）、定投与波段、ETF规模扩容（国家队增持）、场内外溢价、投资体验（2025-2026行情）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ETF选择（宽基/行业/跨境）、定投与波段（投资体验（2025-2026行情））之间存在可检验的关系，且受群体差异（年龄/收入/地区/身份）调节（待验证）；H2：ETF选择（宽基/行业/跨境）、定投与波段是影响投资体验（2025-2026行情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🔶公募基金与ETF发展政策（证监会）；🔶ETF规模数据（交易所须下载核验）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基金平台问卷+基金公司访谈；获奖黑名单核对：近三年无ETF投资行为获奖题（区别于885 ETF定投，聚焦市场行为扩容）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🔶公募基金与ETF发展政策（证监会）；🔶ETF规模数据（交易所须下载核验）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