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1158. “信用卡新规，息费透明化”——信用卡用户息费认知及使用体验调查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研究对象：信用卡用户（新规后息费透明/分期协商）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核心问题/变量：信用卡息费认知（分期手续费）、新规影响（透明展示）、逾期协商（个性化分期）、催收规范感知、消费信贷使用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H1：信用卡息费认知（分期手续费）、新规影响（透明展示）显著影响消费信贷使用（待验证）；H2：不同人群（年龄/收入/城市等级）在上述关系中存在调节作用（待验证）。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🔶信用卡业务监管新规（金融监管总局）；🔶信用卡市场数据（须下载核验）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卡户问卷+发卡行访谈；获奖黑名单核对：近三年无信用卡新规获奖题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🔶信用卡业务监管新规（金融监管总局）；🔶信用卡市场数据（须下载核验）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