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1160. “实物黄金热，金店排队”——金价高位下消费者实物黄金购买意愿及影响因素研究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研究对象：购买实物黄金（金饰/金条）的消费者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核心问题/变量：金价高位（900元+/克）、金饰消费（结婚/悦己）、金条投资、金店促销（工费减免）、回收变现、消费与投资边界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H1：金价高位（900元+/克）、金饰消费（结婚/悦己）显著影响消费与投资边界（待验证）；H2：不同人群（年龄/收入/城市等级）在上述关系中存在调节作用（待验证）。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🔶黄金市场与首饰行业监管（央行、市场监管总局）；🔶金价与金饰消费数据（中国黄金协会须下载核验）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金店渠道问卷+消费者访谈；获奖黑名单核对：近三年无实物黄金消费获奖题（区别于407/585/866黄金投资回收，聚焦金饰消费端）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🔶黄金市场与首饰行业监管（央行、市场监管总局）；🔶金价与金饰消费数据（中国黄金协会须下载核验）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