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1381. “金店以旧换新，换金还是换坑”——金饰以旧换新（门店规则）参与意愿与知情度调查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研究对象：参与金饰以旧换新（门店促销）的消费者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核心问题/变量：以旧换新规则（克减/损耗/工费）、换新溢价（旧金折价低）、金店话术（增值服务）、消费者知情度、纠纷维权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以旧换新规则（克减/损耗/工费）、换新溢价（旧金折价低）（纠纷维权）之间存在可检验的关系，且受群体差异（年龄/收入/地区/身份）调节（待验证）；H2：以旧换新规则（克减/损耗/工费）、换新溢价（旧金折价低）是影响纠纷维权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🔶贵金属饰品计量与促销规范（市场监管总局）；🔶金饰换新纠纷数据（消协须下载核验）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金店渠道+消费者问卷；获奖黑名单核对：近三年无金饰以旧换新获奖题（区别于407/1160黄金消费，聚焦换新规则）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🔶贵金属饰品计量与促销规范（市场监管总局）；🔶金饰换新纠纷数据（消协须下载核验）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