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1382. “存款刚兑不再，理财要自负盈亏”——理财产品净值化（亏损）投资者风险认知与投资意愿调查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研究对象：购买净值型银行理财（经历波动/亏损）的投资者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核心问题/变量：理财净值化（破刚兑）、净值波动（债市调整）、亏损经历（R2也绿）、风险等级认知、银行销售适当性、投资者教育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H1：理财净值化（破刚兑）、净值波动（债市调整）显著影响投资者教育（待验证）；H2：不同人群（年龄/收入/城市等级）在上述关系中存在调节作用（待验证）。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🔶资管新规与理财业务规范（金融监管总局）；🔶理财净值数据（银行业报告须下载核验）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理财投资者问卷+银行财富部门访谈；获奖黑名单核对：近三年无理财净值化获奖题（区别于613银行理财泛题，聚焦净值波动与刚兑打破）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🔶资管新规与理财业务规范（金融监管总局）；🔶理财净值数据（银行业报告须下载核验）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