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241. “个人养老金，开不开户”——个人养老金制度的开户意愿与产品选择偏好研究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研究对象：25—50岁在职人群（缴社保、可自主开户）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核心问题/变量：制度认知、税收优惠感知、开户意愿、产品偏好（储蓄/基金/保险/国债）、顾虑（锁定周期/收益）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制度认知、税收优惠感知（顾虑（锁定周期/收益））之间存在可检验的关系，且受群体差异（年龄/收入/地区/身份）调节（待验证）；H2：制度认知、税收优惠感知是影响顾虑（锁定周期/收益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截至2026年9月底基本养老保险参保10.79亿人、参保率超95%；✅官方明确"扎实推进个人养老金制度实施"、扩大企业年金覆盖面试点；✅2026年6月储蓄国债纳入个人养老金产品池（山东省发改委）；✅京东科技个人养老金对接13家银行、产品超300只、开户破200万（中国网财经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银行网点/企业HR渠道；与养老金融接轨、政策新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截至2026年9月底基本养老保险参保10.79亿人、参保率超95%；✅官方明确"扎实推进个人养老金制度实施"、扩大企业年金覆盖面试点；✅2026年6月储蓄国债纳入个人养老金产品池（山东省发改委）；✅京东科技个人养老金对接13家银行、产品超300只、开户破200万（中国网财经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