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242. “数字人民币，钱生钱”——数字人民币2.0使用体验与场景接受度研究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研究对象：开立过数字人民币钱包的消费者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核心问题/变量：使用场景（支付/补贴/跨境）、2.0计息知晓、替代扫码意愿、使用频次、满意度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H1：使用场景（支付/补贴/跨境）、2.0计息知晓显著影响满意度（待验证）；H2：不同人群（年龄/收入/城市等级）在上述关系中存在调节作用（待验证）。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数字人民币2.0"存款货币"时代：2026年1月1日起实名钱包余额可计付利息；✅截至2025年11月末个人钱包开立2.3亿个、累计交易金额16.7万亿元、跨境支付占比约95.3%；✅江苏2026上半年数币交易新增7万亿元（+215%）、湖南落地商户63.17万家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银行/试点商户渠道；政策前沿（计息新规）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数字人民币2.0"存款货币"时代：2026年1月1日起实名钱包余额可计付利息；✅截至2025年11月末个人钱包开立2.3亿个、累计交易金额16.7万亿元、跨境支付占比约95.3%；✅江苏2026上半年数币交易新增7万亿元（+215%）、湖南落地商户63.17万家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