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243. “大学生花明天的钱”——大学生消费金融（助学贷款、分期、小额贷）行为与理性研究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研究对象：全日制在校大学生（含使用过校园贷/分期/助学贷款）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核心问题/变量：消费金融认知、用途（学费/生活/数码/娱乐）、额度使用、风险意识、还款行为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金融认知、用途（学费/生活/数码/娱乐）（还款行为）之间存在可检验的关系，且受群体差异（年龄/收入/地区/身份）调节（待验证）；H2：消费金融认知、用途（学费/生活/数码/娱乐）是影响还款行为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✅2025年中国学生贷款行业1847亿元→2026年预计1963亿元（+6.3%）；✅国家助学贷款本科上限16000元/年、研究生20000元/年、约45%用于发展型支出（培训/考证）；✅监管禁止向未满18周岁学生发放非政策性贷款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高校渠道（校园样本易得）；正大杯评委关注青年议题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✅2025年中国学生贷款行业1847亿元→2026年预计1963亿元（+6.3%）；✅国家助学贷款本科上限16000元/年、研究生20000元/年、约45%用于发展型支出（培训/考证）；✅监管禁止向未满18周岁学生发放非政策性贷款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