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401. “惠民保，划算吗”——惠民保（沪惠保、穗岁康等）参保意愿与续保行为研究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研究对象：参保过或考虑参保惠民保的居民（30—70岁）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核心问题/变量：参保动机（低价/大病兜底）、理赔认知、续保决策、犹豫因素（报销门槛/既往症）、政策了解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参保动机（低价/大病兜底）、理赔认知（政策了解）之间存在可检验的关系，且受群体差异（年龄/收入/地区/身份）调节（待验证）；H2：参保动机（低价/大病兜底）、理赔认知是影响政策了解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✅2026年全国超90%惠民保项目参保人数下滑、部分华东城市降幅近15%；✅2023年53款产品参保率均值仅18.9%（低于70%-80%有效分散风险临界值）；✅阿克苏2026年度参保率12.86%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社区医保宣传点+线上问卷；民生切题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✅2026年全国超90%惠民保项目参保人数下滑、部分华东城市降幅近15%；✅2023年53款产品参保率均值仅18.9%（低于70%-80%有效分散风险临界值）；✅阿克苏2026年度参保率12.86%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