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402. “连续参保有优待”——惠民保连续参保优待机制认知与影响研究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建议地区：深圳（可按省/市细化抽样框）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研究对象：惠民保参保人（含连续多年参保）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核心问题/变量：优待规则知晓（免赔额降低/报销比例提升）、连续参保意愿、对产品信任、流失原因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H1：优待规则知晓（免赔额降低/报销比例提升）、连续参保意愿显著影响流失原因（待验证）；H2：不同人群（年龄/收入/城市等级）在上述关系中存在调节作用（待验证）。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✅沪惠保连续三年无理赔参保人免赔额最低可降至1万元、既往症责任赔付比例统一调整为30%；✅深圳惠民保连续3年参保无理赔用户报销比例提升至90%；✅杭州"西湖益联保"150元基础版/300元升级版分层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惠民保官方渠道+参保人社群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✅沪惠保连续三年无理赔参保人免赔额最低可降至1万元、既往症责任赔付比例统一调整为30%；✅深圳惠民保连续3年参保无理赔用户报销比例提升至90%；✅杭州"西湖益联保"150元基础版/300元升级版分层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