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403. “补充险，多一层防护”——商业补充健康险购买意愿与线上投保信任研究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研究对象：30—55岁有家庭责任人群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核心问题/变量：已有保障结构（社保/商保）、购买动机、保额与保费接受、理赔流程体验、线上投保信任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H1：已有保障结构（社保/商保）、购买动机显著影响线上投保信任（待验证）；H2：不同人群（年龄/收入/城市等级）在上述关系中存在调节作用（待验证）。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🔶商业健康险市场（银保监/行业数据需核验）；✅"惠民保+百万医疗"组合讨论（媒体）；✅个人养老金/第三支柱政策背景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保险经纪平台用户渠道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🔶商业健康险市场（银保监/行业数据需核验）；✅"惠民保+百万医疗"组合讨论（媒体）；✅个人养老金/第三支柱政策背景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