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406. “攒金豆，年轻人理财新姿势”——小克重黄金消费行为与复购意愿研究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研究对象：购买过金豆/小克重金饰的 18—35 岁人群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核心问题/变量：购买动机（保值/悦己/仪式感）、购买频次与克重、价格敏感（金价波动）、回收变现认知、复购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H1：购买动机（保值/悦己/仪式感）、购买频次与克重显著影响复购（待验证）；H2：不同人群（年龄/收入/城市等级）在上述关系中存在调节作用（待验证）。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✅1—5克"小金豆"、硬足金挂坠成门店备货重点、入手门槛低；✅2026年黄金消费从"投资保值"转向"悦己+保值"双重属性；✅2026国庆品牌金饰挂牌价从高点1360元/克回落到900—1250元/克、带动金店客流暴涨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金店现场+线上金豆社群；贴近年轻人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✅1—5克"小金豆"、硬足金挂坠成门店备货重点、入手门槛低；✅2026年黄金消费从"投资保值"转向"悦己+保值"双重属性；✅2026国庆品牌金饰挂牌价从高点1360元/克回落到900—1250元/克、带动金店客流暴涨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