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407. “旧金变现，以旧换新”——黄金回收处置行为与渠道信任研究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研究对象：做过黄金回收或以旧换新的消费者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核心问题/变量：处理渠道（金店/线上回收）、折价损耗感知、回收信任（称重/克扣）、以旧换新决策、风险经历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H1：处理渠道（金店/线上回收）、折价损耗感知显著影响风险经历（待验证）；H2：不同人群（年龄/收入/城市等级）在上述关系中存在调节作用（待验证）。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🔶黄金回收乱象（央视3·15/媒体曝光需引原文）；✅金价波动下"买金—回收"闭环（媒体）；✅金店客流暴涨（2026国庆）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金店/回收门店渠道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🔶黄金回收乱象（央视3·15/媒体曝光需引原文）；✅金价波动下"买金—回收"闭环（媒体）；✅金店客流暴涨（2026国庆）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