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464. “信用分，生活的通行证”——个人信用分使用行为与隐私顾虑研究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研究对象：使用信用分的用户（免押金/先用后付/信用住）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核心问题/变量：使用场景、免押金便利感知、分高低的权益差异、隐私顾虑（数据画像）、查询频率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H1：使用场景、免押金便利感知显著影响查询频率（待验证）；H2：不同人群（年龄/收入/城市等级）在上述关系中存在调节作用（待验证）。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🔶信用分用户规模（蚂蚁集团数据需核验）；✅《征信业务管理办法》（央行政策背景）；✅"信用+消费"普惠场景（媒体）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支付宝/微信用户线上问卷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🔶信用分用户规模（蚂蚁集团数据需核验）；✅《征信业务管理办法》（央行政策背景）；✅"信用+消费"普惠场景（媒体）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