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477. “账单AA制，小家庭财务”——年轻家庭AA制财务管理偏好与消费决策研究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研究对象：25—40岁已婚/同居年轻家庭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核心问题/变量：财务模式（AA/共同/混合）、大额支出决策（买房/育儿）、财务透明、矛盾点、财富规划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H1：财务模式（AA/共同/混合）、大额支出决策（买房/育儿）显著影响财富规划（待验证）；H2：不同人群（年龄/收入/城市等级）在上述关系中存在调节作用（待验证）。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🔶"AA制婚姻"讨论（媒体热议需引原文）；✅家庭消费金融（第九轮消费金融背景）；✅婚姻家庭消费研究（学术）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年轻家庭线上问卷（夫妻群）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🔶"AA制婚姻"讨论（媒体热议需引原文）；✅家庭消费金融（第九轮消费金融背景）；✅婚姻家庭消费研究（学术）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