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581. “数字人民币红包，花不花”——数字人民币红包的使用行为与接受度研究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研究对象：领取过数字人民币消费红包的市民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核心问题/变量：红包领取与使用率、使用场景（商超/餐饮/公交）、对数字人民币接受度提升、未使用原因、与微信支付宝对比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H1：红包领取与使用率、使用场景（商超/餐饮/公交）显著影响与微信支付宝对比（待验证）；H2：不同人群（年龄/收入/城市等级）在上述关系中存在调节作用（待验证）。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✅数字人民币试点政策（央行）；🔶红包发放与使用数据（试点城市公告须下载核验）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试点城市问卷+银行访谈；区别于330（适老化）聚焦红包营销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✅数字人民币试点政策（央行）；🔶红包发放与使用数据（试点城市公告须下载核验）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