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582. “惠民保，值不值得买”——城市惠民保的参保动机与续保意愿研究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研究对象：投保惠民保的城市居民、未投保者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核心问题/变量：惠民保认知、参保动机（价格/既往症可保）、理赔体验、续保意愿、与百万医疗对比、健康告知信任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惠民保认知、参保动机（价格/既往症可保）（健康告知信任）之间存在可检验的关系，且受群体差异（年龄/收入/地区/身份）调节（待验证）；H2：惠民保认知、参保动机（价格/既往症可保）是影响健康告知信任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🔶惠民保发展报告（行业报告须下载核验）；✅多层次医疗保障政策（医保局）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参保社群问卷+保险公司访谈；区别于245（养老金融）聚焦健康险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🔶惠民保发展报告（行业报告须下载核验）；✅多层次医疗保障政策（医保局）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