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584. “少儿财商课，钱商从娃娃抓起”——儿童财商教育的消费动机与机构信任研究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研究对象：给孩子报财商课/买财商绘本的家长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核心问题/变量：财商教育动机、课程与绘本消费、零花钱管理实践、亲子金钱观教育、对财商机构信任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H1：财商教育动机、课程与绘本消费显著影响对财商机构信任（待验证）；H2：不同人群（年龄/收入/城市等级）在上述关系中存在调节作用（待验证）。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🔶少儿财商教育市场报道（教育媒体须下载核验）；✅儿童友好与素质教育政策（教育部）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亲子社群问卷+教育机构访谈；区别于083（托育）聚焦财商内容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🔶少儿财商教育市场报道（教育媒体须下载核验）；✅儿童友好与素质教育政策（教育部）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