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670. “小额贷广告，刷到的贷款”——线上贷款广告用户的冲动借贷意愿与误导感知调查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研究对象：接触过线上贷款广告（App/短视频）的用户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核心问题/变量：贷款广告推送频次、额度利率误导感知、冲动借贷经历、以贷养贷风险、金融素养与监管期待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H1：贷款广告推送频次、额度利率误导感知显著影响金融素养与监管期待（待验证）；H2：不同人群（年龄/收入/城市等级）在上述关系中存在调节作用（待验证）。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✅互联网金融广告整治（市场监管总局、金融监管）；🔶网络贷款投诉数据（消协须下载核验）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青年社群问卷+金融监管数据；获奖黑名单核对：近三年无贷款广告获奖题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✅互联网金融广告整治（市场监管总局、金融监管）；🔶网络贷款投诉数据（消协须下载核验）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