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693. “养老金第三支柱，个人养老金账户”——个人养老金开户动机与缴存意愿调查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研究对象：开通个人养老金账户的城镇职工及未开户者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核心问题/变量：开户动机（节税/养老规划）、缴存金额与频率、产品选择（储蓄/基金/保险）、税延激励感知、未开户障碍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H1：开户动机（节税/养老规划）、缴存金额与频率显著影响未开户障碍（待验证）；H2：不同人群（年龄/收入/城市等级）在上述关系中存在调节作用（待验证）。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✅个人养老金制度（人社部、财政部等）；🔶开户缴存数据（人社部发布须下载核验）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银行渠道问卷+人社数据；获奖黑名单核对：近三年无个人养老金获奖题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✅个人养老金制度（人社部、财政部等）；🔶开户缴存数据（人社部发布须下载核验）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