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789. “数字人民币硬钱包，适老支付”——数字人民币硬钱包使用需求与推广接受度研究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研究对象：使用数字人民币硬钱包（适老/无手机支付）的群体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核心问题/变量：硬钱包使用场景（公交/商超）、与App软钱包对比、适老便捷性（不依赖手机）、充值使用流程、推广接受度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H1：硬钱包使用场景（公交/商超）、与App软钱包对比显著影响推广接受度（待验证）；H2：不同人群（年龄/收入/城市等级）在上述关系中存在调节作用（待验证）。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✅数字人民币硬钱包试点（央行）；🔶硬钱包应用数据（须下载核验）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试点城市问卷+银行访谈；获奖黑名单核对：近三年无硬钱包获奖题（区别于330/581数字人民币）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✅数字人民币硬钱包试点（央行）；🔶硬钱包应用数据（须下载核验）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