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818. “银行卡整顿，沉睡账户清理”——银行睡眠卡清理用户认知与权益保障需求研究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研究对象：收到银行“沉睡账户”清理/取款限额通知的用户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核心问题/变量：睡眠卡清理知晓、小额账户限额（非柜面交易）影响、账户查询与激活流程、反诈（断卡行动）关联认知、权益保障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睡眠卡清理知晓、小额账户限额（非柜面交易）影响（权益保障）之间存在可检验的关系，且受群体差异（年龄/收入/地区/身份）调节（待验证）；H2：睡眠卡清理知晓、小额账户限额（非柜面交易）影响是影响权益保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🔶银行清理睡眠账户通知与政策（金融监管总局）；🔶断卡行动报道（须下载核验）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银行渠道问卷+客服访谈；获奖黑名单核对：近三年无沉睡账户获奖题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🔶银行清理睡眠账户通知与政策（金融监管总局）；🔶断卡行动报道（须下载核验）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