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833. “存款特种兵，跨城存钱”——跨城存款储户储蓄动机与存款保险认知研究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研究对象：为高利率跨城存款（存款特种兵）的储户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核心问题/变量：跨城存款动机（利率差）、地域利率差异感知（大行vs小行）、存款金额与交通成本、存款保险认知（50万赔付）、渠道（线上）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H1：跨城存款动机（利率差）、地域利率差异感知（大行vs小行）显著影响渠道（线上）（待验证）；H2：不同人群（年龄/收入/城市等级）在上述关系中存在调节作用（待验证）。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🔶存款利率定价自律（市场利率定价自律机制）；🔶跨城存款现象报道（财经媒体须下载核验）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储户社群问卷+银行访谈；获奖黑名单核对：近三年无跨城存款获奖题（区别于629利率下行）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🔶存款利率定价自律（市场利率定价自律机制）；🔶跨城存款现象报道（财经媒体须下载核验）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