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866. “黄金回收热，变现还是踩坑”——消费者黄金回收意愿与正规渠道信任调查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确定行业：10_金融保险与理财（选择理由：贴合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研究对象：参与黄金回收/以旧换新的消费者（含被坑经历）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核心问题/变量：黄金回收动机（金价高位变现）、回收价格（克减/损耗）、虚报高价引流陷阱、称重/烧金猫腻、正规渠道（银行/金店）选择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H1：黄金回收动机（金价高位变现）、回收价格（克减/损耗）显著影响正规渠道（银行/金店）选择（待验证）；H2：不同人群（年龄/收入/城市等级）在上述关系中存在调节作用（待验证）。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🔶黄金回收乱象整治报道（市场监管总局须下载核验）；✅贵金属回收规范（中国人民银行）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黄金门店渠道+消费者问卷；获奖黑名单核对：近三年无黄金回收获奖题（区别于585金豆投资）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🔶黄金回收乱象整治报道（市场监管总局须下载核验）；✅贵金属回收规范（中国人民银行）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