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885. “ETF联接基金定投，小白理财”——年轻投资者ETF定投持续意愿及投教内容影响研究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研究对象：开始定投指数基金/ETF（含投教课程）的年轻投资者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核心问题/变量：定投动机（强制储蓄/财务自由）、投教内容（自媒体）影响、止盈止损执行、A股波动体验、亏损心理、持续定投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定投动机（强制储蓄/财务自由）、投教内容（自媒体）影响（持续定投）之间存在可检验的关系，且受群体差异（年龄/收入/地区/身份）调节（待验证）；H2：定投动机（强制储蓄/财务自由）、投教内容（自媒体）影响是影响持续定投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🔶指数基金与ETF发展数据（中基协须下载核验）；✅投资者教育与金融素养政策（证监会）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基金平台数据+投资者问卷；获奖黑名单核对：近三年无ETF定投获奖题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🔶指数基金与ETF发展数据（中基协须下载核验）；✅投资者教育与金融素养政策（证监会）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