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965. “黄金积存，中产压舱石”——黄金积存（积存金）的需求调查与定投选择动机及赎回变现意愿研究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研究对象：办理黄金积存（工行如意金/积存金类）的投资者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核心问题/变量：积存金选择动机（抗通胀/强制储蓄）、定投积存习惯、金价波动心态、与其他黄金形式（金豆/纸黄金）对比、赎回变现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H1：积存金选择动机（抗通胀/强制储蓄）、定投积存习惯显著影响赎回变现（待验证）；H2：不同人群（年龄/收入/城市等级）在上述关系中存在调节作用（待验证）。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🔶黄金积存业务规范（央行、金融监管总局）；🔶黄金投资数据（须下载核验）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银行渠道问卷+投资者访谈；获奖黑名单核对：近三年无黄金积存获奖题（区别于585金豆/866回收）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🔶黄金积存业务规范（央行、金融监管总局）；🔶黄金投资数据（须下载核验）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