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1025. “脂肪肝门诊，肝脏减负”——脂肪肝门诊就诊需求与干预效果评价调查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研究对象：因脂肪肝/代谢异常就诊的患者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核心问题/变量：脂肪肝检出率（体检异常）、门诊干预（饮食/运动/药物）、减重与转氨酶改善、随访依从、与减重门诊联动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脂肪肝检出率（体检异常）、门诊干预（饮食/运动/药物）（与减重门诊联动）之间存在可检验的关系，且受群体差异（年龄/收入/地区/身份）调节（待验证）；H2：脂肪肝检出率（体检异常）、门诊干预（饮食/运动/药物）是影响与减重门诊联动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🔶脂肪肝防治与体重管理行动（卫健委）；🔶代谢门诊建设报道（须下载核验）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医院肝病/代谢科渠道+患者问卷；获奖黑名单核对：近三年无脂肪肝门诊获奖题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🔶脂肪肝防治与体重管理行动（卫健委）；🔶代谢门诊建设报道（须下载核验）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