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1057. “干眼症门诊，屏幕病”——屏幕族干眼症就医需求与护理消费意愿调查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研究对象：就医干眼症/使用人工泪液的屏幕族（上班族、学生）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核心问题/变量：干眼症状（眼干/畏光）、就医选择（眼科门诊/理疗）、人工泪液与护理消费、视屏时长相关、缓解效果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H1：干眼症状（眼干/畏光）、就医选择（眼科门诊/理疗）显著影响缓解效果（待验证）；H2：不同人群（年龄/收入/城市等级）在上述关系中存在调节作用（待验证）。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🔶干眼症诊疗专家共识（中华医学会眼科学分会）；🔶干眼护理市场数据（须下载核验）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眼科门诊问卷+医院采访；获奖黑名单核对：近三年无干眼症获奖题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🔶干眼症诊疗专家共识（中华医学会眼科学分会）；🔶干眼护理市场数据（须下载核验）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