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1058. “尿酸高痛风，年轻人躲不掉的痛”——年轻人高尿酸血症防治需求与生活方式改变意愿调查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研究对象：体检尿酸高/确诊痛风的年轻人（20-40岁）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核心问题/变量：痛风年轻化感知（火锅/啤酒/饮料）、尿酸控制（饮食/药物）、降酸药依从、发作痛苦、生活方式改变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风年轻化感知（火锅/啤酒/饮料）、尿酸控制（饮食/药物）（生活方式改变）之间存在可检验的关系，且受群体差异（年龄/收入/地区/身份）调节（待验证）；H2：痛风年轻化感知（火锅/啤酒/饮料）、尿酸控制（饮食/药物）是影响生活方式改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🔶高尿酸血症防治指南（中华医学会）；🔶痛风年轻化数据（医学报告须下载核验）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医院风湿科渠道+患者问卷；获奖黑名单核对：近三年无痛风获奖题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🔶高尿酸血症防治指南（中华医学会）；🔶痛风年轻化数据（医学报告须下载核验）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