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105. “看病带娃，儿童友好医院”——儿童友好型医院就诊服务需求与使用意愿研究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研究对象：为老人/家人生病使用过或了解陪诊服务的 25—55 岁人群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核心问题/变量：服务需求场景（挂号/取药/陪伴检查）、信任顾虑、价格接受、使用意愿、规范诉求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服务需求场景（挂号/取药/陪伴检查）、信任顾虑（规范诉求）之间存在可检验的关系，且受群体差异（年龄/收入/地区/身份）调节（待验证）；H2：服务需求场景（挂号/取药/陪伴检查）、信任顾虑是影响规范诉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🔶陪诊服务行业规模与争议（多地媒体报道，需引用具体城市案例）；✅《关于促进家政服务业高质量发展的若干政策措施》（商务部等9部门 2026-07-13，可作政策呼应）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医院周边/社区渠道；结合独居老人、异地就医背景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🔶陪诊服务行业规模与争议（多地媒体报道，需引用具体城市案例）；✅《关于促进家政服务业高质量发展的若干政策措施》（商务部等9部门 2026-07-13，可作政策呼应）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