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1060. “中医体质辨识，你的体质档案”——中医体质辨识消费需求与调理复购意愿调查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研究对象：做过中医体质辨识（九种体质）并调理的消费者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核心问题/变量：体质辨识渠道（体检/线上/医馆）、报告解读（偏颇体质）、调理消费（代茶饮/艾灸/膏方）、见效感知、复购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H1：体质辨识渠道（体检/线上/医馆）、报告解读（偏颇体质）显著影响复购（待验证）；H2：不同人群（年龄/收入/城市等级）在上述关系中存在调节作用（待验证）。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🔶中医体质辨识标准（国家中医药局）；🔶中医养生市场数据（行业报告须下载核验）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中医馆渠道+消费者问卷；获奖黑名单核对：近三年无中医体质辨识获奖题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🔶中医体质辨识标准（国家中医药局）；🔶中医养生市场数据（行业报告须下载核验）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