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1063. “早癌筛查，救命的早筛”——消费级癌症早筛基因检测选择因素与监管信任调查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研究对象：做过消费级早癌基因筛查（ctDNA/甲基化）的用户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核心问题/变量：早筛产品选择（肠癌/肺癌/多癌种）、价格（千元-万元）、结果解读与假阳性焦虑、与传统体检替代、监管信任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H1：早筛产品选择（肠癌/肺癌/多癌种）、价格（千元-万元）显著影响监管信任（待验证）；H2：不同人群（年龄/收入/城市等级）在上述关系中存在调节作用（待验证）。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🔶基因检测与早筛产品注册监管（药监局）；🔶早筛市场规模数据（行业报告须下载核验）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早筛企业渠道+用户问卷；获奖黑名单核对：近三年无早癌基因检测获奖题（区别于889体检加项，聚焦基因早筛产品）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🔶基因检测与早筛产品注册监管（药监局）；🔶早筛市场规模数据（行业报告须下载核验）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