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1064. “彩虹健康，脂肪肝干预”——体检后健康干预（三高+脂肪肝管理）服务的需求与付费意愿调查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研究对象：参加体检后健康管理/干预服务（营养师、运动处方）的人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核心问题/变量：体检异常检出（三高/脂肪肝/结节）、健康管理服务（App/私教/营养）、付费与依从、指标改善、续费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H1：体检异常检出（三高/脂肪肝/结节）、健康管理服务（App/私教/营养）显著影响续费（待验证）；H2：不同人群（年龄/收入/城市等级）在上述关系中存在调节作用（待验证）。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🔶健康管理服务规范（卫健委）；🔶健康管理市场数据（行业报告须下载核验）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健康管理机构问卷+用户访谈；获奖黑名单核对：近三年无体检后干预获奖题（区别于889/1061，聚焦管理闭环）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🔶健康管理服务规范（卫健委）；🔶健康管理市场数据（行业报告须下载核验）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