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1092. “体检报告解读，别自己吓自己”——体检报告异常项解读服务需求与付费意愿调查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研究对象：体检报告多项异常寻求解读的中青年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核心问题/变量：体检异常项（结节/囊肿/指标箭头）、解读渠道（App/挂号）、解读服务付费、复查决策、健康焦虑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H1：体检异常项（结节/囊肿/指标箭头）、解读渠道（App/挂号）显著影响健康焦虑（待验证）；H2：不同人群（年龄/收入/城市等级）在上述关系中存在调节作用（待验证）。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🔶健康体检报告规范（卫健委）；🔶报告解读服务市场报道（须下载核验）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体检机构渠道+用户问卷；获奖黑名单核对：近三年无体检报告解读获奖题（区别于636体检报告泛题，聚焦付费解读服务）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🔶健康体检报告规范（卫健委）；🔶报告解读服务市场报道（须下载核验）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