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1149. “HPV男性接种，不止女性”——男性HPV疫苗接种（意愿、认知）研究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研究对象：男性（9-45岁）HPV疫苗接种意愿与接受度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核心问题/变量：男性HPV认知（喉癌/生殖器疣）、男性接种意愿、扩龄政策知晓（男性适应症）、接种渠道与费用、性别平等认知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男性HPV认知（喉癌/生殖器疣）、男性接种意愿（性别平等认知）之间存在可检验的关系，且受群体差异（年龄/收入/地区/身份）调节（待验证）；H2：男性HPV认知（喉癌/生殖器疣）、男性接种意愿是影响性别平等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🔶HPV疫苗男性适应症批准（药监局）；🔶男性接种数据（疾控须下载核验）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疾控/男性社群问卷；获奖黑名单核对：近三年无男性HPV获奖题（区别于276/852女性HPV）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🔶HPV疫苗男性适应症批准（药监局）；🔶男性接种数据（疾控须下载核验）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