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1150. “成人近视防控，成年人的度数保卫战”——成年人近视加深干预意愿及护眼需求调查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研究对象：成年后近视继续加深（视疲劳）的用眼人群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核心问题/变量：成年近视加深（屏幕族）、视疲劳症状、干预方式（户外/护眼/OK镜限青年）、眼底健康体检、用眼习惯改变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成年近视加深（屏幕族）、视疲劳症状（用眼习惯改变）之间存在可检验的关系，且受群体差异（年龄/收入/地区/身份）调节（待验证）；H2：成年近视加深（屏幕族）、视疲劳症状是影响用眼习惯改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🔶眼健康行动与近视防控政策（卫健委）；🔶成人近视数据（眼科报告须下载核验）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眼科门诊+上班族问卷；获奖黑名单核对：近三年无成人近视干预获奖题（区别于224/954青少年近视）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🔶眼健康行动与近视防控政策（卫健委）；🔶成人近视数据（眼科报告须下载核验）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