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121. “生命终点，温柔疗护”——安宁疗护服务认知、需求与支付意愿研究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确定行业：11_健康医疗（选择理由：贴合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研究对象：家有重病/临终老人的成年子女或 60+ 老人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核心问题/变量：安宁疗护认知度、服务需求（疼痛管理/心理支持/家属关怀）、政策支付意愿、伦理态度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安宁疗护认知度、服务需求（疼痛管理/心理支持/家属关怀）（伦理态度）之间存在可检验的关系，且受群体差异（年龄/收入/地区/身份）调节（待验证）；H2：安宁疗护认知度、服务需求（疼痛管理/心理支持/家属关怀）是影响伦理态度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✅安宁疗护2023年约850亿元、有望突破1500亿元（弗若斯特沙利文2024）；✅广东省将安宁疗护纳入价格项目（每日收费260元）；✅《健康中国2030规划纲要》安宁疗护政策（背景）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医院肿瘤科/安宁疗护病房/社区临终关怀宣传渠道；话题有温度、政策新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✅安宁疗护2023年约850亿元、有望突破1500亿元（弗若斯特沙利文2024）；✅广东省将安宁疗护纳入价格项目（每日收费260元）；✅《健康中国2030规划纲要》安宁疗护政策（背景）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