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1301. “慢病长处方，一次开仨月药”——慢病长处方用药需求与线上续方使用意愿调查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研究对象：适用慢病长处方（一次开具2-4周以上）的慢病患者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核心问题/变量：慢病复诊开药频次（每月跑医院）、长处方政策（处方有效期放宽）、定点医院/药店拿药、线上续方、减少往返就医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慢病复诊开药频次（每月跑医院）、长处方政策（处方有效期放宽）（减少往返就医）之间存在可检验的关系，且受群体差异（年龄/收入/地区/身份）调节（待验证）；H2：慢病复诊开药频次（每月跑医院）、长处方政策（处方有效期放宽）是影响减少往返就医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🔶慢性病长期处方管理规范（国家卫健委、医保局）；🔶长处方政策落地数据（须下载核验）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慢病患者问卷+医院药房访谈；获奖黑名单核对：近三年无慢病长处方获奖题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🔶慢性病长期处方管理规范（国家卫健委、医保局）；🔶长处方政策落地数据（须下载核验）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