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1302. “基层医院CT，设备上楼了”——基层CT核磁检查使用意愿与基层医疗信任调查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研究对象：在基层医院（乡镇/社区）使用大型设备检查（CT/核磁）的患者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核心问题/变量：基层影像设备配置（CT下沉）、检查排队与报告（远程会诊）、与大医院检查对比、收费与报销、基层医疗信任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基层影像设备配置（CT下沉）、检查排队与报告（远程会诊）（基层医疗信任）之间存在可检验的关系，且受群体差异（年龄/收入/地区/身份）调节（待验证）；H2：基层影像设备配置（CT下沉）、检查排队与报告（远程会诊）是影响基层医疗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🔶基层医疗能力提升与设备配置政策（卫健委）；🔶紧密型县域医共体数据（须下载核验）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基层医院渠道+患者问卷；获奖黑名单核对：近三年无基层设备检查获奖题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🔶基层医疗能力提升与设备配置政策（卫健委）；🔶紧密型县域医共体数据（须下载核验）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