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1305. “三明医改经验，看病便宜了”——三明医改集采药价感知与就医负担变化调查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研究对象：经历三明医改经验推广（药品耗材集采/医生薪酬改革）的医生与患者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核心问题/变量：集采药价下降感知、医生薪酬改革（阳光收入）、医疗服务价格调整（挂号费）、患者负担变化、医生积极性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采药价下降感知、医生薪酬改革（阳光收入）（医生积极性）之间存在可检验的关系，且受群体差异（年龄/收入/地区/身份）调节（待验证）；H2：集采药价下降感知、医生薪酬改革（阳光收入）是影响医生积极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🔶三明医改经验推广政策（国务院、卫健委）；🔶集采与薪酬改革数据（须下载核验）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医院问卷+卫健委访谈；获奖黑名单核对：近三年无三明医改获奖题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🔶三明医改经验推广政策（国务院、卫健委）；🔶集采与薪酬改革数据（须下载核验）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