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1326. “肺结节门诊，磨玻璃焦虑”——肺结节检出人群焦虑水平与随访依从调查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研究对象：体检发现肺结节（磨玻璃影）随访的人群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核心问题/变量：肺结节检出率高（AI筛查）、结节焦虑（疑癌）、随访依从（3个月复查）、过度检查（PET-CT）、医生解释沟通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肺结节检出率高（AI筛查）、结节焦虑（疑癌）（医生解释沟通）之间存在可检验的关系，且受群体差异（年龄/收入/地区/身份）调节（待验证）；H2：肺结节检出率高（AI筛查）、结节焦虑（疑癌）是影响医生解释沟通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🔶肺结节筛查与随访指南（中华医学会）；🔶肺结节检出数据（医学报告须下载核验）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影像科渠道+检出者问卷；获奖黑名单核对：近三年无肺结节随访获奖题（区别于234肺结节泛题，聚焦随访心理与行为）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🔶肺结节筛查与随访指南（中华医学会）；🔶肺结节检出数据（医学报告须下载核验）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