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1327. “青年中风，突然的倒下”——中青年脑卒中征兆认知与康复消费意愿调查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研究对象：中青年脑卒中患者/高危人群（高血压熬夜）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核心问题/变量：青年卒中案例（过劳/熬夜）、危险因素（三高/烟酒）、发病征兆认知（FAST）、康复消费、年轻患者心理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青年卒中案例（过劳/熬夜）、危险因素（三高/烟酒）（年轻患者心理）之间存在可检验的关系，且受群体差异（年龄/收入/地区/身份）调节（待验证）；H2：青年卒中案例（过劳/熬夜）、危险因素（三高/烟酒）是影响年轻患者心理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🔶卒中防治与心脑血管病行动（卫健委）；🔶卒中中心数据（须下载核验）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神经内科渠道+患者问卷；获奖黑名单核对：近三年无青年卒中获奖题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🔶卒中防治与心脑血管病行动（卫健委）；🔶卒中中心数据（须下载核验）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