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1328. “儿童肥胖门诊，小胖墩减重”——儿童肥胖门诊干预需求与家庭参与意愿调查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研究对象：带孩子看儿童肥胖门诊的家长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核心问题/变量：儿童肥胖率（超20%）、门诊干预（饮食运动处方）、家庭饮食结构、屏幕时间（久坐）、校园周边食品、反弹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儿童肥胖率（超20%）、门诊干预（饮食运动处方）（反弹）之间存在可检验的关系，且受群体差异（年龄/收入/地区/身份）调节（待验证）；H2：儿童肥胖率（超20%）、门诊干预（饮食运动处方）是影响反弹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🔶儿童青少年肥胖防控政策（卫健委、教育部）；🔶儿童肥胖数据（须下载核验）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儿科/营养科渠道+家长问卷；获奖黑名单核对：近三年无儿童肥胖门诊获奖题（区别于82/163成人减重）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🔶儿童青少年肥胖防控政策（卫健委、教育部）；🔶儿童肥胖数据（须下载核验）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