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1330. “更年期门诊，女性第二春”——更年期门诊就医需求与健康管理满意度调查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研究对象：就诊更年期门诊（40-60岁女性）的患者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核心问题/变量：更年期症状（潮热/失眠/情绪）、门诊就医（激素治疗）、健康管理（骨密度/血脂）、社会讨论开放化、家庭理解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更年期症状（潮热/失眠/情绪）、门诊就医（激素治疗）（家庭理解）之间存在可检验的关系，且受群体差异（年龄/收入/地区/身份）调节（待验证）；H2：更年期症状（潮热/失眠/情绪）、门诊就医（激素治疗）是影响家庭理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🔶妇女健康与更年期保健政策（卫健委、全国妇联）；🔶更年期门诊数据（须下载核验）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妇科/更年期门诊渠道+患者问卷；获奖黑名单核对：近三年无更年期门诊获奖题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🔶妇女健康与更年期保健政策（卫健委、全国妇联）；🔶更年期门诊数据（须下载核验）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