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224. “小眼镜，大防线”——儿童近视防控手段的选择偏好与家长付费意愿研究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研究对象：6—18岁孩子家长（关注近视防控）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核心问题/变量：孩子近视状况、防控手段选择（OK镜/离焦镜/红光/户外）、费用接受、医院信任、效果感知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H1：孩子近视状况、防控手段选择（OK镜/离焦镜/红光/户外）显著影响效果感知（待验证）；H2：不同人群（年龄/收入/城市等级）在上述关系中存在调节作用（待验证）。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✅2025年儿童青少年总体近视率51.9%；✅近视管理医疗器械零售市场2024年407.3亿元→2030年预计909.2亿元；✅防控转向全周期管理、OK镜/离焦/红光渗透率提高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眼科医院/学校渠道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✅2025年儿童青少年总体近视率51.9%；✅近视管理医疗器械零售市场2024年407.3亿元→2030年预计909.2亿元；✅防控转向全周期管理、OK镜/离焦/红光渗透率提高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