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254. “心理自助，AI 搭把手”——心理健康自助服务的求助意愿与AI工具信任调查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研究对象：18—40岁有情绪困扰或咨询过心理服务的青年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核心问题/变量：求助意愿（病耻感）、渠道偏好（App/热线/线下）、付费接受、AI心理工具信任、效果评价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求助意愿（病耻感）、渠道偏好（App/热线/线下）（效果评价）之间存在可检验的关系，且受群体差异（年龄/收入/地区/身份）调节（待验证）；H2：求助意愿（病耻感）、渠道偏好（App/热线/线下）是影响效果评价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🔶心理健康市场规模（行业报告需核验）；✅近八成青年有情绪压力（艾媒，第二批已核验）；✅国家心理健康促进行动（政策背景）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高校心理中心/心理App社群渠道；与第二批31（情绪）区分：聚焦专业服务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🔶心理健康市场规模（行业报告需核验）；✅近八成青年有情绪压力（艾媒，第二批已核验）；✅国家心理健康促进行动（政策背景）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