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271. “一口好牙，正畸美学”——口腔正畸方式的决策偏好与付费意愿研究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研究对象：正在矫正或有意矫正牙齿的 12—40 岁人群及其家长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核心问题/变量：矫正动机（美观/功能）、矫正方式选择（隐形vs钢丝）、价格敏感、机构信任、满意度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H1：矫正动机（美观/功能）、矫正方式选择（隐形vs钢丝）显著影响满意度（待验证）；H2：不同人群（年龄/收入/城市等级）在上述关系中存在调节作用（待验证）。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口腔正畸市场规模约500亿元、隐形矫正和陶瓷矫正为主要增长点；✅2026年中国口腔医疗服务市场约3753.5亿元（+13%）、诊疗人次破3.6亿次；✅全国口腔患者约7亿人、超八成消费者有过口腔医疗项目经历（行业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口腔门诊/高校渠道；贴近大学生、自带话题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口腔正畸市场规模约500亿元、隐形矫正和陶瓷矫正为主要增长点；✅2026年中国口腔医疗服务市场约3753.5亿元（+13%）、诊疗人次破3.6亿次；✅全国口腔患者约7亿人、超八成消费者有过口腔医疗项目经历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